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67" w:rsidRPr="00ED0C7E" w:rsidRDefault="001E5835">
      <w:pPr>
        <w:rPr>
          <w:sz w:val="24"/>
        </w:rPr>
      </w:pPr>
      <w:r w:rsidRPr="00ED0C7E">
        <w:rPr>
          <w:sz w:val="24"/>
        </w:rPr>
        <w:t>DISEÑO Y EVALUACION ECONOMICA DE PROCESOS 2018</w:t>
      </w:r>
    </w:p>
    <w:p w:rsidR="001E5835" w:rsidRPr="00ED0C7E" w:rsidRDefault="001E5835" w:rsidP="001E5835">
      <w:pPr>
        <w:rPr>
          <w:b/>
          <w:i/>
        </w:rPr>
      </w:pPr>
      <w:r w:rsidRPr="00ED0C7E">
        <w:rPr>
          <w:b/>
          <w:i/>
        </w:rPr>
        <w:t>Diseño conceptual nivel 1 y 2</w:t>
      </w:r>
    </w:p>
    <w:p w:rsidR="001E5835" w:rsidRDefault="001E5835" w:rsidP="00717B11">
      <w:pPr>
        <w:jc w:val="both"/>
      </w:pPr>
      <w:r>
        <w:t xml:space="preserve">Cierta empresa petroquímica </w:t>
      </w:r>
      <w:r w:rsidR="00ED0C7E">
        <w:t>está</w:t>
      </w:r>
      <w:r>
        <w:t xml:space="preserve"> estudiando la posibilidad de invertir en una planta de producción de etanol azeotropo, utilizando una corriente disponible de etileno-etano con un 90% de etileno. Con este fin le solicita a un grupo de estudiantes de ingeniería química que desarrolle el diseño conceptual del proceso, de acuerdo con las siguientes reacciones:</w:t>
      </w:r>
    </w:p>
    <w:p w:rsidR="001E5835" w:rsidRPr="001E5835" w:rsidRDefault="001E5835" w:rsidP="001E583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etileno+H2O→EtOH</m:t>
          </m:r>
        </m:oMath>
      </m:oMathPara>
    </w:p>
    <w:p w:rsidR="001E5835" w:rsidRPr="001E5835" w:rsidRDefault="001E5835" w:rsidP="001E583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2EtOH↔dietileter+H2O</m:t>
          </m:r>
        </m:oMath>
      </m:oMathPara>
    </w:p>
    <w:p w:rsidR="001E5835" w:rsidRDefault="001E5835" w:rsidP="00717B11">
      <w:pPr>
        <w:jc w:val="both"/>
        <w:rPr>
          <w:rFonts w:eastAsiaTheme="minorEastAsia"/>
        </w:rPr>
      </w:pPr>
      <w:r>
        <w:rPr>
          <w:rFonts w:eastAsiaTheme="minorEastAsia"/>
        </w:rPr>
        <w:t>Ambas reacciones ocurren a la misma temperatura y presión</w:t>
      </w:r>
    </w:p>
    <w:p w:rsidR="001E5835" w:rsidRDefault="001E5835" w:rsidP="00717B11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Se desea producir 783 </w:t>
      </w:r>
      <w:proofErr w:type="spellStart"/>
      <w:r>
        <w:rPr>
          <w:rFonts w:eastAsiaTheme="minorEastAsia"/>
        </w:rPr>
        <w:t>lbmol</w:t>
      </w:r>
      <w:proofErr w:type="spellEnd"/>
      <w:r>
        <w:rPr>
          <w:rFonts w:eastAsiaTheme="minorEastAsia"/>
        </w:rPr>
        <w:t>/</w:t>
      </w:r>
      <w:proofErr w:type="spellStart"/>
      <w:r>
        <w:rPr>
          <w:rFonts w:eastAsiaTheme="minorEastAsia"/>
        </w:rPr>
        <w:t>hr</w:t>
      </w:r>
      <w:proofErr w:type="spellEnd"/>
      <w:r>
        <w:rPr>
          <w:rFonts w:eastAsiaTheme="minorEastAsia"/>
        </w:rPr>
        <w:t xml:space="preserve"> de etanol </w:t>
      </w:r>
      <w:proofErr w:type="spellStart"/>
      <w:r>
        <w:rPr>
          <w:rFonts w:eastAsiaTheme="minorEastAsia"/>
        </w:rPr>
        <w:t>azeotropo</w:t>
      </w:r>
      <w:proofErr w:type="spellEnd"/>
      <w:r>
        <w:rPr>
          <w:rFonts w:eastAsiaTheme="minorEastAsia"/>
        </w:rPr>
        <w:t xml:space="preserve"> (85.4 % de etanol – 14.6% de agua) y nada del subproducto DEE (dietileter). Por lo tanto, solo se requiere analizar el proceso donde el subproducto es totalmente reciclado. Además, el estudio de mercado </w:t>
      </w:r>
      <w:proofErr w:type="spellStart"/>
      <w:r>
        <w:rPr>
          <w:rFonts w:eastAsiaTheme="minorEastAsia"/>
        </w:rPr>
        <w:t>inidoc</w:t>
      </w:r>
      <w:proofErr w:type="spellEnd"/>
      <w:r>
        <w:rPr>
          <w:rFonts w:eastAsiaTheme="minorEastAsia"/>
        </w:rPr>
        <w:t xml:space="preserve"> que existe una demanda para gas de fuel de etileno-etano. Las características del proceso hacen que el agua sea el reactivo limitante, a pesar de costar menos que el etileno </w:t>
      </w:r>
    </w:p>
    <w:p w:rsidR="001E5835" w:rsidRDefault="001E5835" w:rsidP="001E5835">
      <w:pPr>
        <w:rPr>
          <w:rFonts w:eastAsiaTheme="minorEastAsia"/>
        </w:rPr>
      </w:pPr>
      <w:r>
        <w:rPr>
          <w:rFonts w:eastAsiaTheme="minorEastAsia"/>
        </w:rPr>
        <w:t>Datos: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E5835" w:rsidTr="001E5835">
        <w:tc>
          <w:tcPr>
            <w:tcW w:w="2123" w:type="dxa"/>
          </w:tcPr>
          <w:p w:rsidR="001E5835" w:rsidRPr="003F54C8" w:rsidRDefault="001E5835" w:rsidP="003F54C8">
            <w:pPr>
              <w:jc w:val="center"/>
              <w:rPr>
                <w:rFonts w:eastAsiaTheme="minorEastAsia"/>
                <w:b/>
              </w:rPr>
            </w:pPr>
            <w:r w:rsidRPr="003F54C8">
              <w:rPr>
                <w:rFonts w:eastAsiaTheme="minorEastAsia"/>
                <w:b/>
              </w:rPr>
              <w:t>Componente</w:t>
            </w:r>
          </w:p>
        </w:tc>
        <w:tc>
          <w:tcPr>
            <w:tcW w:w="2123" w:type="dxa"/>
          </w:tcPr>
          <w:p w:rsidR="001E5835" w:rsidRPr="003F54C8" w:rsidRDefault="001E5835" w:rsidP="003F54C8">
            <w:pPr>
              <w:jc w:val="center"/>
              <w:rPr>
                <w:rFonts w:eastAsiaTheme="minorEastAsia"/>
                <w:b/>
              </w:rPr>
            </w:pPr>
            <w:r w:rsidRPr="003F54C8">
              <w:rPr>
                <w:rFonts w:eastAsiaTheme="minorEastAsia"/>
                <w:b/>
              </w:rPr>
              <w:t>Precio venta/compra</w:t>
            </w:r>
          </w:p>
        </w:tc>
        <w:tc>
          <w:tcPr>
            <w:tcW w:w="2124" w:type="dxa"/>
          </w:tcPr>
          <w:p w:rsidR="001E5835" w:rsidRPr="003F54C8" w:rsidRDefault="001E5835" w:rsidP="003F54C8">
            <w:pPr>
              <w:jc w:val="center"/>
              <w:rPr>
                <w:rFonts w:eastAsiaTheme="minorEastAsia"/>
                <w:b/>
              </w:rPr>
            </w:pPr>
            <w:r w:rsidRPr="003F54C8">
              <w:rPr>
                <w:rFonts w:eastAsiaTheme="minorEastAsia"/>
                <w:b/>
              </w:rPr>
              <w:t>Punto de ebullición (°C)</w:t>
            </w:r>
          </w:p>
        </w:tc>
        <w:tc>
          <w:tcPr>
            <w:tcW w:w="2124" w:type="dxa"/>
          </w:tcPr>
          <w:p w:rsidR="001E5835" w:rsidRPr="003F54C8" w:rsidRDefault="001E5835" w:rsidP="003F54C8">
            <w:pPr>
              <w:jc w:val="center"/>
              <w:rPr>
                <w:rFonts w:eastAsiaTheme="minorEastAsia"/>
                <w:b/>
              </w:rPr>
            </w:pPr>
            <w:r w:rsidRPr="003F54C8">
              <w:rPr>
                <w:rFonts w:eastAsiaTheme="minorEastAsia" w:cstheme="minorHAnsi"/>
                <w:b/>
              </w:rPr>
              <w:t>∆</w:t>
            </w:r>
            <w:r w:rsidRPr="003F54C8">
              <w:rPr>
                <w:rFonts w:eastAsiaTheme="minorEastAsia"/>
                <w:b/>
              </w:rPr>
              <w:t>H de combustión</w:t>
            </w:r>
          </w:p>
        </w:tc>
      </w:tr>
      <w:tr w:rsidR="001E5835" w:rsidTr="001E5835"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EtOH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azeotropo</w:t>
            </w:r>
            <w:proofErr w:type="spellEnd"/>
          </w:p>
        </w:tc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$14.30/lbmol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78.1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1E5835" w:rsidTr="001E5835"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EtOH</w:t>
            </w:r>
            <w:proofErr w:type="spellEnd"/>
            <w:r>
              <w:rPr>
                <w:rFonts w:eastAsiaTheme="minorEastAsia"/>
              </w:rPr>
              <w:t xml:space="preserve"> (puro)</w:t>
            </w:r>
          </w:p>
        </w:tc>
        <w:tc>
          <w:tcPr>
            <w:tcW w:w="2123" w:type="dxa"/>
          </w:tcPr>
          <w:p w:rsidR="001E5835" w:rsidRP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78.4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1E5835" w:rsidTr="001E5835"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H2O(alimentación)</w:t>
            </w:r>
          </w:p>
        </w:tc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$3.20/lbmol (costo de purificación)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1E5835" w:rsidTr="001E5835"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Etileno (alimentación)</w:t>
            </w:r>
          </w:p>
        </w:tc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$12.4/lbmol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1E5835" w:rsidTr="001E5835"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Etileno (puro)</w:t>
            </w:r>
          </w:p>
        </w:tc>
        <w:tc>
          <w:tcPr>
            <w:tcW w:w="2123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1E5835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-104.1</w:t>
            </w:r>
          </w:p>
        </w:tc>
        <w:tc>
          <w:tcPr>
            <w:tcW w:w="2124" w:type="dxa"/>
          </w:tcPr>
          <w:p w:rsidR="001E5835" w:rsidRDefault="00717B11" w:rsidP="003F54C8">
            <w:pPr>
              <w:jc w:val="center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0.606*10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  <w:r w:rsidR="001E5835">
              <w:rPr>
                <w:rFonts w:eastAsiaTheme="minorEastAsia"/>
              </w:rPr>
              <w:t xml:space="preserve"> BTU/lbmol</w:t>
            </w:r>
          </w:p>
        </w:tc>
      </w:tr>
      <w:tr w:rsidR="001E5835" w:rsidTr="001E5835">
        <w:tc>
          <w:tcPr>
            <w:tcW w:w="2123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Etano (puro)</w:t>
            </w:r>
          </w:p>
        </w:tc>
        <w:tc>
          <w:tcPr>
            <w:tcW w:w="2123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-89</w:t>
            </w:r>
          </w:p>
        </w:tc>
        <w:tc>
          <w:tcPr>
            <w:tcW w:w="2124" w:type="dxa"/>
          </w:tcPr>
          <w:p w:rsidR="001E5835" w:rsidRDefault="00717B11" w:rsidP="003F54C8">
            <w:pPr>
              <w:jc w:val="center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0.383*10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  <w:r w:rsidR="003F54C8">
              <w:rPr>
                <w:rFonts w:eastAsiaTheme="minorEastAsia"/>
              </w:rPr>
              <w:t xml:space="preserve"> BTU/lbmol</w:t>
            </w:r>
          </w:p>
        </w:tc>
      </w:tr>
      <w:tr w:rsidR="001E5835" w:rsidTr="001E5835">
        <w:tc>
          <w:tcPr>
            <w:tcW w:w="2123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DEE (puro)</w:t>
            </w:r>
          </w:p>
        </w:tc>
        <w:tc>
          <w:tcPr>
            <w:tcW w:w="2123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34.6</w:t>
            </w:r>
          </w:p>
        </w:tc>
        <w:tc>
          <w:tcPr>
            <w:tcW w:w="2124" w:type="dxa"/>
          </w:tcPr>
          <w:p w:rsidR="001E5835" w:rsidRDefault="00717B11" w:rsidP="003F54C8">
            <w:pPr>
              <w:jc w:val="center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1.172*10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  <w:r w:rsidR="003F54C8">
              <w:rPr>
                <w:rFonts w:eastAsiaTheme="minorEastAsia"/>
              </w:rPr>
              <w:t xml:space="preserve"> BTU/lbmol</w:t>
            </w:r>
          </w:p>
        </w:tc>
      </w:tr>
      <w:tr w:rsidR="001E5835" w:rsidTr="003F54C8">
        <w:trPr>
          <w:trHeight w:val="332"/>
        </w:trPr>
        <w:tc>
          <w:tcPr>
            <w:tcW w:w="2123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Fuel</w:t>
            </w:r>
          </w:p>
        </w:tc>
        <w:tc>
          <w:tcPr>
            <w:tcW w:w="2123" w:type="dxa"/>
          </w:tcPr>
          <w:p w:rsidR="001E5835" w:rsidRDefault="00717B11" w:rsidP="003F54C8">
            <w:pPr>
              <w:jc w:val="center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$4/10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</m:oMath>
            <w:r w:rsidR="003F54C8">
              <w:rPr>
                <w:rFonts w:eastAsiaTheme="minorEastAsia"/>
              </w:rPr>
              <w:t xml:space="preserve"> BTU</w:t>
            </w:r>
          </w:p>
        </w:tc>
        <w:tc>
          <w:tcPr>
            <w:tcW w:w="2124" w:type="dxa"/>
          </w:tcPr>
          <w:p w:rsidR="001E5835" w:rsidRPr="003F54C8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124" w:type="dxa"/>
          </w:tcPr>
          <w:p w:rsidR="001E5835" w:rsidRDefault="003F54C8" w:rsidP="003F54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</w:tbl>
    <w:p w:rsidR="001E5835" w:rsidRDefault="001E5835" w:rsidP="001E5835">
      <w:pPr>
        <w:rPr>
          <w:rFonts w:eastAsiaTheme="minorEastAsia"/>
        </w:rPr>
      </w:pPr>
    </w:p>
    <w:p w:rsidR="003F54C8" w:rsidRDefault="003F54C8" w:rsidP="00717B11">
      <w:pPr>
        <w:jc w:val="both"/>
        <w:rPr>
          <w:rFonts w:eastAsiaTheme="minorEastAsia"/>
        </w:rPr>
      </w:pPr>
      <w:r>
        <w:rPr>
          <w:rFonts w:eastAsiaTheme="minorEastAsia"/>
        </w:rPr>
        <w:t>NIVEL 1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t>Decidir si es conveniente utilizar un procesos continuo o por lotes</w:t>
      </w:r>
    </w:p>
    <w:p w:rsidR="003F54C8" w:rsidRDefault="003F54C8" w:rsidP="00717B11">
      <w:pPr>
        <w:jc w:val="both"/>
        <w:rPr>
          <w:rFonts w:eastAsiaTheme="minorEastAsia"/>
        </w:rPr>
      </w:pPr>
      <w:r>
        <w:rPr>
          <w:rFonts w:eastAsiaTheme="minorEastAsia"/>
        </w:rPr>
        <w:t>NIVEL 2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t>A partir de la información dada, construir la tabla de destinos de los componentes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t>Utilizando la tabla de destinos y la información dada, dibujar el esquema de entrada-salida de la planta, poniendo nombres a todas las corrientes e indicando variables relevantes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t xml:space="preserve">Plantear los balances de masa de los componentes y resolver para encontrar los caudales de las corrientes o su expresión en función de la variable de diseño, la </w:t>
      </w:r>
      <w:r w:rsidR="00ED0C7E">
        <w:rPr>
          <w:rFonts w:eastAsiaTheme="minorEastAsia"/>
        </w:rPr>
        <w:t>fracción</w:t>
      </w:r>
      <w:r>
        <w:rPr>
          <w:rFonts w:eastAsiaTheme="minorEastAsia"/>
        </w:rPr>
        <w:t xml:space="preserve"> molar de etileno en la corriente de purga. Por las características del procesos esta variable no puede superar el valor del 80%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Encontrar la expresión del potencial económico del nivel 2 (PE2) en función de la variable de diseño</w:t>
      </w:r>
    </w:p>
    <w:p w:rsidR="003F54C8" w:rsidRDefault="003F54C8" w:rsidP="00717B11">
      <w:pPr>
        <w:pStyle w:val="Prrafodelista"/>
        <w:numPr>
          <w:ilvl w:val="0"/>
          <w:numId w:val="4"/>
        </w:numPr>
        <w:jc w:val="both"/>
        <w:rPr>
          <w:rFonts w:eastAsiaTheme="minorEastAsia"/>
        </w:rPr>
      </w:pPr>
      <w:r>
        <w:rPr>
          <w:rFonts w:eastAsiaTheme="minorEastAsia"/>
        </w:rPr>
        <w:t>Evaluar el PE2 en los siguientes valores de diseño 0%, 40% y 80% y en base a los resultados obtenidos estimar en que zona se encuentra el rango rentable de este proceso</w:t>
      </w:r>
    </w:p>
    <w:p w:rsidR="003F54C8" w:rsidRPr="00ED0C7E" w:rsidRDefault="003F54C8" w:rsidP="00717B11">
      <w:pPr>
        <w:jc w:val="both"/>
        <w:rPr>
          <w:rFonts w:eastAsiaTheme="minorEastAsia"/>
          <w:b/>
          <w:i/>
        </w:rPr>
      </w:pPr>
      <w:r w:rsidRPr="00ED0C7E">
        <w:rPr>
          <w:rFonts w:eastAsiaTheme="minorEastAsia"/>
          <w:b/>
          <w:i/>
        </w:rPr>
        <w:t>INTEGRACION ENERGETICA</w:t>
      </w:r>
    </w:p>
    <w:p w:rsidR="003F54C8" w:rsidRDefault="003F54C8" w:rsidP="00717B11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Se tienen las siguientes corrientes fritas y calientes, y se desea realizar una integración de calor entre ellas. Se sabe que, si la aproximación de las temperaturas entre el fluido frio y el caliente disminuye 20°C, el área del equipo aumenta </w:t>
      </w:r>
      <w:r w:rsidR="00ED0C7E">
        <w:rPr>
          <w:rFonts w:eastAsiaTheme="minorEastAsia"/>
        </w:rPr>
        <w:t>más</w:t>
      </w:r>
      <w:r>
        <w:rPr>
          <w:rFonts w:eastAsiaTheme="minorEastAsia"/>
        </w:rPr>
        <w:t xml:space="preserve"> rápidamente y su costo se vuelve no rentable económicamente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66B62" w:rsidTr="00C66B62">
        <w:tc>
          <w:tcPr>
            <w:tcW w:w="2123" w:type="dxa"/>
          </w:tcPr>
          <w:p w:rsidR="00C66B62" w:rsidRPr="00717B11" w:rsidRDefault="00C66B62" w:rsidP="00717B11">
            <w:pPr>
              <w:jc w:val="center"/>
              <w:rPr>
                <w:rFonts w:eastAsiaTheme="minorEastAsia"/>
                <w:b/>
              </w:rPr>
            </w:pPr>
            <w:r w:rsidRPr="00717B11">
              <w:rPr>
                <w:rFonts w:eastAsiaTheme="minorEastAsia"/>
                <w:b/>
              </w:rPr>
              <w:t>CORRIENTE</w:t>
            </w:r>
          </w:p>
        </w:tc>
        <w:tc>
          <w:tcPr>
            <w:tcW w:w="2123" w:type="dxa"/>
          </w:tcPr>
          <w:p w:rsidR="00C66B62" w:rsidRPr="00717B11" w:rsidRDefault="00C66B62" w:rsidP="00717B11">
            <w:pPr>
              <w:jc w:val="center"/>
              <w:rPr>
                <w:rFonts w:eastAsiaTheme="minorEastAsia"/>
                <w:b/>
              </w:rPr>
            </w:pPr>
            <w:r w:rsidRPr="00717B11">
              <w:rPr>
                <w:rFonts w:eastAsiaTheme="minorEastAsia"/>
                <w:b/>
              </w:rPr>
              <w:t>FCP (KW/K)</w:t>
            </w:r>
          </w:p>
        </w:tc>
        <w:tc>
          <w:tcPr>
            <w:tcW w:w="2124" w:type="dxa"/>
          </w:tcPr>
          <w:p w:rsidR="00C66B62" w:rsidRPr="00717B11" w:rsidRDefault="00C66B62" w:rsidP="00717B11">
            <w:pPr>
              <w:jc w:val="center"/>
              <w:rPr>
                <w:rFonts w:eastAsiaTheme="minorEastAsia"/>
                <w:b/>
              </w:rPr>
            </w:pPr>
            <w:r w:rsidRPr="00717B11">
              <w:rPr>
                <w:rFonts w:eastAsiaTheme="minorEastAsia"/>
                <w:b/>
              </w:rPr>
              <w:t>T ENTRADA °C</w:t>
            </w:r>
          </w:p>
        </w:tc>
        <w:tc>
          <w:tcPr>
            <w:tcW w:w="2124" w:type="dxa"/>
          </w:tcPr>
          <w:p w:rsidR="00C66B62" w:rsidRPr="00717B11" w:rsidRDefault="00C66B62" w:rsidP="00717B11">
            <w:pPr>
              <w:jc w:val="center"/>
              <w:rPr>
                <w:rFonts w:eastAsiaTheme="minorEastAsia"/>
                <w:b/>
              </w:rPr>
            </w:pPr>
            <w:r w:rsidRPr="00717B11">
              <w:rPr>
                <w:rFonts w:eastAsiaTheme="minorEastAsia"/>
                <w:b/>
              </w:rPr>
              <w:t>T SALIDA °C</w:t>
            </w:r>
          </w:p>
        </w:tc>
      </w:tr>
      <w:tr w:rsidR="00C66B62" w:rsidTr="00C66B62"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H1</w:t>
            </w:r>
          </w:p>
        </w:tc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300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400</w:t>
            </w:r>
          </w:p>
        </w:tc>
      </w:tr>
      <w:tr w:rsidR="00C66B62" w:rsidTr="00C66B62"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C1</w:t>
            </w:r>
          </w:p>
        </w:tc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300</w:t>
            </w:r>
          </w:p>
        </w:tc>
      </w:tr>
      <w:tr w:rsidR="00C66B62" w:rsidTr="00C66B62"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C2</w:t>
            </w:r>
          </w:p>
        </w:tc>
        <w:tc>
          <w:tcPr>
            <w:tcW w:w="2123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2124" w:type="dxa"/>
          </w:tcPr>
          <w:p w:rsidR="00C66B62" w:rsidRDefault="00C66B62" w:rsidP="00717B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</w:tr>
    </w:tbl>
    <w:p w:rsidR="003F54C8" w:rsidRPr="003F54C8" w:rsidRDefault="003F54C8" w:rsidP="003F54C8">
      <w:pPr>
        <w:rPr>
          <w:rFonts w:eastAsiaTheme="minorEastAsia"/>
        </w:rPr>
      </w:pPr>
    </w:p>
    <w:p w:rsidR="00ED0C7E" w:rsidRPr="00ED0C7E" w:rsidRDefault="00C66B62" w:rsidP="00717B11">
      <w:pPr>
        <w:pStyle w:val="Prrafodelista"/>
        <w:numPr>
          <w:ilvl w:val="0"/>
          <w:numId w:val="6"/>
        </w:numPr>
        <w:jc w:val="both"/>
        <w:rPr>
          <w:rFonts w:eastAsiaTheme="minorEastAsia"/>
        </w:rPr>
      </w:pPr>
      <w:r w:rsidRPr="00ED0C7E">
        <w:rPr>
          <w:rFonts w:eastAsiaTheme="minorEastAsia"/>
        </w:rPr>
        <w:t>Diagramar una red de intercambio factible para la realización de la integración energética</w:t>
      </w:r>
    </w:p>
    <w:p w:rsidR="00C66B62" w:rsidRDefault="00C66B62" w:rsidP="00717B11">
      <w:pPr>
        <w:pStyle w:val="Prrafodelista"/>
        <w:numPr>
          <w:ilvl w:val="0"/>
          <w:numId w:val="5"/>
        </w:numPr>
        <w:jc w:val="both"/>
        <w:rPr>
          <w:rFonts w:eastAsiaTheme="minorEastAsia"/>
        </w:rPr>
      </w:pPr>
      <w:r>
        <w:rPr>
          <w:rFonts w:eastAsiaTheme="minorEastAsia"/>
        </w:rPr>
        <w:t>Realizar la cascada de calor</w:t>
      </w:r>
    </w:p>
    <w:p w:rsidR="00C66B62" w:rsidRDefault="00C66B62" w:rsidP="00717B11">
      <w:pPr>
        <w:pStyle w:val="Prrafodelista"/>
        <w:numPr>
          <w:ilvl w:val="0"/>
          <w:numId w:val="5"/>
        </w:numPr>
        <w:jc w:val="both"/>
        <w:rPr>
          <w:rFonts w:eastAsiaTheme="minorEastAsia"/>
        </w:rPr>
      </w:pPr>
      <w:r>
        <w:rPr>
          <w:rFonts w:eastAsiaTheme="minorEastAsia"/>
        </w:rPr>
        <w:t xml:space="preserve">Encontrar los servicios </w:t>
      </w:r>
      <w:r w:rsidR="00ED0C7E">
        <w:rPr>
          <w:rFonts w:eastAsiaTheme="minorEastAsia"/>
        </w:rPr>
        <w:t>mínimos</w:t>
      </w:r>
      <w:r>
        <w:rPr>
          <w:rFonts w:eastAsiaTheme="minorEastAsia"/>
        </w:rPr>
        <w:t xml:space="preserve"> requeridos para que la cascada sea factible</w:t>
      </w:r>
    </w:p>
    <w:p w:rsidR="00C66B62" w:rsidRDefault="00C66B62" w:rsidP="00717B11">
      <w:pPr>
        <w:pStyle w:val="Prrafodelista"/>
        <w:numPr>
          <w:ilvl w:val="0"/>
          <w:numId w:val="5"/>
        </w:numPr>
        <w:jc w:val="both"/>
        <w:rPr>
          <w:rFonts w:eastAsiaTheme="minorEastAsia"/>
        </w:rPr>
      </w:pPr>
      <w:r>
        <w:rPr>
          <w:rFonts w:eastAsiaTheme="minorEastAsia"/>
        </w:rPr>
        <w:t>Ubicar el pinch</w:t>
      </w:r>
    </w:p>
    <w:p w:rsidR="00ED0C7E" w:rsidRDefault="00C66B62" w:rsidP="00717B11">
      <w:pPr>
        <w:pStyle w:val="Prrafodelista"/>
        <w:numPr>
          <w:ilvl w:val="0"/>
          <w:numId w:val="5"/>
        </w:numPr>
        <w:jc w:val="both"/>
        <w:rPr>
          <w:rFonts w:eastAsiaTheme="minorEastAsia"/>
        </w:rPr>
      </w:pPr>
      <w:r>
        <w:rPr>
          <w:rFonts w:eastAsiaTheme="minorEastAsia"/>
        </w:rPr>
        <w:t>Diseñar la red arriba y abajo del pinch</w:t>
      </w:r>
    </w:p>
    <w:p w:rsidR="00476A3C" w:rsidRPr="00476A3C" w:rsidRDefault="00476A3C" w:rsidP="00717B11">
      <w:pPr>
        <w:jc w:val="both"/>
        <w:rPr>
          <w:rFonts w:eastAsiaTheme="minorEastAsia"/>
        </w:rPr>
      </w:pPr>
    </w:p>
    <w:p w:rsidR="00C66B62" w:rsidRPr="00ED0C7E" w:rsidRDefault="00C66B62" w:rsidP="00717B11">
      <w:pPr>
        <w:pStyle w:val="Prrafodelista"/>
        <w:numPr>
          <w:ilvl w:val="0"/>
          <w:numId w:val="6"/>
        </w:numPr>
        <w:jc w:val="both"/>
        <w:rPr>
          <w:rFonts w:eastAsiaTheme="minorEastAsia"/>
        </w:rPr>
      </w:pPr>
      <w:r w:rsidRPr="00ED0C7E">
        <w:rPr>
          <w:rFonts w:eastAsiaTheme="minorEastAsia"/>
        </w:rPr>
        <w:t>Esquematizar la red de intercambiadores. A continuación, se muestra una red energética de ejemplo:</w:t>
      </w:r>
    </w:p>
    <w:p w:rsidR="00C66B62" w:rsidRDefault="00ED0C7E" w:rsidP="00717B11">
      <w:pPr>
        <w:jc w:val="center"/>
        <w:rPr>
          <w:rFonts w:eastAsiaTheme="minorEastAsia"/>
        </w:rPr>
      </w:pPr>
      <w:r>
        <w:rPr>
          <w:noProof/>
          <w:lang w:eastAsia="es-AR"/>
        </w:rPr>
        <w:drawing>
          <wp:inline distT="0" distB="0" distL="0" distR="0" wp14:anchorId="21BE46EC" wp14:editId="4EDFBBF6">
            <wp:extent cx="1657350" cy="13239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C7E" w:rsidRDefault="00ED0C7E" w:rsidP="00717B11">
      <w:pPr>
        <w:pStyle w:val="Prrafodelista"/>
        <w:numPr>
          <w:ilvl w:val="0"/>
          <w:numId w:val="6"/>
        </w:numPr>
        <w:jc w:val="both"/>
        <w:rPr>
          <w:rFonts w:eastAsiaTheme="minorEastAsia"/>
        </w:rPr>
      </w:pPr>
      <w:r>
        <w:rPr>
          <w:rFonts w:eastAsiaTheme="minorEastAsia"/>
        </w:rPr>
        <w:t>Si se dispone de servicio de enfriamiento a 40°C, sigue siendo factible la red de intercambiadores del inciso a? en caso de que no lo fuera, explique porque. No necesita armar otra red ni realizar cálculos extra.</w:t>
      </w:r>
      <w:bookmarkStart w:id="0" w:name="_GoBack"/>
      <w:bookmarkEnd w:id="0"/>
    </w:p>
    <w:p w:rsidR="00803EE5" w:rsidRDefault="00803EE5" w:rsidP="00803EE5">
      <w:pPr>
        <w:rPr>
          <w:rFonts w:eastAsiaTheme="minorEastAsia"/>
        </w:rPr>
      </w:pPr>
    </w:p>
    <w:p w:rsidR="00803EE5" w:rsidRDefault="00803EE5" w:rsidP="00803EE5">
      <w:pPr>
        <w:rPr>
          <w:rFonts w:eastAsiaTheme="minorEastAsia"/>
        </w:rPr>
      </w:pPr>
    </w:p>
    <w:p w:rsidR="00803EE5" w:rsidRDefault="00803EE5" w:rsidP="00803EE5">
      <w:pPr>
        <w:rPr>
          <w:rFonts w:eastAsiaTheme="minorEastAsia"/>
        </w:rPr>
      </w:pPr>
    </w:p>
    <w:p w:rsidR="00803EE5" w:rsidRDefault="00803EE5" w:rsidP="00803EE5">
      <w:pPr>
        <w:rPr>
          <w:rFonts w:eastAsiaTheme="minorEastAsia"/>
        </w:rPr>
      </w:pPr>
    </w:p>
    <w:p w:rsidR="00803EE5" w:rsidRDefault="00803EE5" w:rsidP="00803EE5">
      <w:pPr>
        <w:rPr>
          <w:rFonts w:eastAsiaTheme="minorEastAsia"/>
        </w:rPr>
      </w:pPr>
    </w:p>
    <w:p w:rsidR="00803EE5" w:rsidRPr="00803EE5" w:rsidRDefault="00803EE5" w:rsidP="00803EE5">
      <w:pPr>
        <w:rPr>
          <w:rFonts w:eastAsiaTheme="minorEastAsia"/>
        </w:rPr>
      </w:pPr>
    </w:p>
    <w:sectPr w:rsidR="00803EE5" w:rsidRPr="00803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379AB"/>
    <w:multiLevelType w:val="hybridMultilevel"/>
    <w:tmpl w:val="5E50C18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33F37"/>
    <w:multiLevelType w:val="hybridMultilevel"/>
    <w:tmpl w:val="F5E295A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72D6C"/>
    <w:multiLevelType w:val="hybridMultilevel"/>
    <w:tmpl w:val="8526A00E"/>
    <w:lvl w:ilvl="0" w:tplc="A45CEE0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2664E"/>
    <w:multiLevelType w:val="hybridMultilevel"/>
    <w:tmpl w:val="B9080852"/>
    <w:lvl w:ilvl="0" w:tplc="5F4A257E">
      <w:start w:val="7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21D6E"/>
    <w:multiLevelType w:val="hybridMultilevel"/>
    <w:tmpl w:val="438E25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97F8C"/>
    <w:multiLevelType w:val="hybridMultilevel"/>
    <w:tmpl w:val="F7B47C6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35"/>
    <w:rsid w:val="001E5835"/>
    <w:rsid w:val="003F54C8"/>
    <w:rsid w:val="00476A3C"/>
    <w:rsid w:val="00573242"/>
    <w:rsid w:val="00717B11"/>
    <w:rsid w:val="00803EE5"/>
    <w:rsid w:val="00C66B62"/>
    <w:rsid w:val="00DA68D3"/>
    <w:rsid w:val="00E930D5"/>
    <w:rsid w:val="00ED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4B4BC9-C6E2-4EF4-AA0C-009DB307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583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E5835"/>
    <w:rPr>
      <w:color w:val="808080"/>
    </w:rPr>
  </w:style>
  <w:style w:type="table" w:styleId="Tablaconcuadrcula">
    <w:name w:val="Table Grid"/>
    <w:basedOn w:val="Tablanormal"/>
    <w:uiPriority w:val="39"/>
    <w:rsid w:val="001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Alem</dc:creator>
  <cp:keywords/>
  <dc:description/>
  <cp:lastModifiedBy>Valentina Alem</cp:lastModifiedBy>
  <cp:revision>5</cp:revision>
  <cp:lastPrinted>2022-05-07T04:56:00Z</cp:lastPrinted>
  <dcterms:created xsi:type="dcterms:W3CDTF">2022-05-07T04:27:00Z</dcterms:created>
  <dcterms:modified xsi:type="dcterms:W3CDTF">2022-05-07T05:04:00Z</dcterms:modified>
</cp:coreProperties>
</file>