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567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Prof.: Mg. Viviana Sassi </w:t>
        <w:tab/>
        <w:tab/>
        <w:tab/>
        <w:tab/>
      </w:r>
    </w:p>
    <w:p w:rsidR="00000000" w:rsidDel="00000000" w:rsidP="00000000" w:rsidRDefault="00000000" w:rsidRPr="00000000" w14:paraId="00000002">
      <w:pPr>
        <w:ind w:hanging="567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Ayudantes de cátedra: Lic.  Inés Ciccioli - Lic. Marian Rivoir Lagleyze</w:t>
      </w:r>
    </w:p>
    <w:p w:rsidR="00000000" w:rsidDel="00000000" w:rsidP="00000000" w:rsidRDefault="00000000" w:rsidRPr="00000000" w14:paraId="00000003">
      <w:pPr>
        <w:spacing w:after="200" w:line="276" w:lineRule="auto"/>
        <w:ind w:hanging="567"/>
        <w:jc w:val="left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ind w:hanging="567"/>
        <w:jc w:val="center"/>
        <w:rPr>
          <w:rFonts w:ascii="Comfortaa" w:cs="Comfortaa" w:eastAsia="Comfortaa" w:hAnsi="Comfortaa"/>
          <w:b w:val="1"/>
          <w:i w:val="1"/>
        </w:rPr>
      </w:pPr>
      <w:r w:rsidDel="00000000" w:rsidR="00000000" w:rsidRPr="00000000">
        <w:rPr>
          <w:rFonts w:ascii="Comfortaa" w:cs="Comfortaa" w:eastAsia="Comfortaa" w:hAnsi="Comfortaa"/>
          <w:b w:val="1"/>
          <w:i w:val="1"/>
          <w:rtl w:val="0"/>
        </w:rPr>
        <w:t xml:space="preserve">Segundo Parcial 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jc w:val="center"/>
        <w:rPr>
          <w:rFonts w:ascii="Comfortaa" w:cs="Comfortaa" w:eastAsia="Comfortaa" w:hAnsi="Comforta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Consigna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2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Luego de visualizar los siguientes videos, les proponemos que elaboren un texto en el que analicen las diferentes experiencias escolares del nivel secundario a la luz de los marcos teóricos propuestos desde la cátedra para los textos de la Unidad II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(Walsh y Visotsky)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y de la Unidad III.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Para realizar el análisis les sugerimos tener en cuenta los siguientes ejes: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Comfortaa" w:cs="Comfortaa" w:eastAsia="Comfortaa" w:hAnsi="Comfortaa"/>
        </w:rPr>
      </w:pPr>
      <w:bookmarkStart w:colFirst="0" w:colLast="0" w:name="_heading=h.j2d16a9ypqad" w:id="0"/>
      <w:bookmarkEnd w:id="0"/>
      <w:r w:rsidDel="00000000" w:rsidR="00000000" w:rsidRPr="00000000">
        <w:rPr>
          <w:rFonts w:ascii="Comfortaa" w:cs="Comfortaa" w:eastAsia="Comfortaa" w:hAnsi="Comfortaa"/>
          <w:rtl w:val="0"/>
        </w:rPr>
        <w:t xml:space="preserve">Tensión entre el origen elitista y selectivo del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nivel secundario y su actual obligatoriedad.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Comfortaa" w:cs="Comfortaa" w:eastAsia="Comfortaa" w:hAnsi="Comfortaa"/>
        </w:rPr>
      </w:pPr>
      <w:bookmarkStart w:colFirst="0" w:colLast="0" w:name="_heading=h.9viot1f8k8vy" w:id="1"/>
      <w:bookmarkEnd w:id="1"/>
      <w:r w:rsidDel="00000000" w:rsidR="00000000" w:rsidRPr="00000000">
        <w:rPr>
          <w:rFonts w:ascii="Comfortaa" w:cs="Comfortaa" w:eastAsia="Comfortaa" w:hAnsi="Comfortaa"/>
          <w:rtl w:val="0"/>
        </w:rPr>
        <w:t xml:space="preserve">El formato escolar vigente y nuevos formatos de la escuela secundaria.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Comfortaa" w:cs="Comfortaa" w:eastAsia="Comfortaa" w:hAnsi="Comfortaa"/>
        </w:rPr>
      </w:pPr>
      <w:bookmarkStart w:colFirst="0" w:colLast="0" w:name="_heading=h.xk0dfkey41ys" w:id="2"/>
      <w:bookmarkEnd w:id="2"/>
      <w:r w:rsidDel="00000000" w:rsidR="00000000" w:rsidRPr="00000000">
        <w:rPr>
          <w:rFonts w:ascii="Comfortaa" w:cs="Comfortaa" w:eastAsia="Comfortaa" w:hAnsi="Comfortaa"/>
          <w:rtl w:val="0"/>
        </w:rPr>
        <w:t xml:space="preserve">Perspectivas críticas, poscríticas y/o decoloniales.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Comfortaa" w:cs="Comfortaa" w:eastAsia="Comfortaa" w:hAnsi="Comfortaa"/>
        </w:rPr>
      </w:pPr>
      <w:bookmarkStart w:colFirst="0" w:colLast="0" w:name="_heading=h.gjdgxs" w:id="3"/>
      <w:bookmarkEnd w:id="3"/>
      <w:r w:rsidDel="00000000" w:rsidR="00000000" w:rsidRPr="00000000">
        <w:rPr>
          <w:rFonts w:ascii="Comfortaa" w:cs="Comfortaa" w:eastAsia="Comfortaa" w:hAnsi="Comfortaa"/>
          <w:rtl w:val="0"/>
        </w:rPr>
        <w:t xml:space="preserve">La no neutralidad en las escuelas: poder y autoridad.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omfortaa" w:cs="Comfortaa" w:eastAsia="Comfortaa" w:hAnsi="Comfortaa"/>
        </w:rPr>
      </w:pPr>
      <w:bookmarkStart w:colFirst="0" w:colLast="0" w:name="_heading=h.sird24vyxw5r" w:id="4"/>
      <w:bookmarkEnd w:id="4"/>
      <w:r w:rsidDel="00000000" w:rsidR="00000000" w:rsidRPr="00000000">
        <w:rPr>
          <w:rFonts w:ascii="Comfortaa" w:cs="Comfortaa" w:eastAsia="Comfortaa" w:hAnsi="Comfortaa"/>
          <w:rtl w:val="0"/>
        </w:rPr>
        <w:t xml:space="preserve">La noción de lo público y la educación como derecho.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omfortaa" w:cs="Comfortaa" w:eastAsia="Comfortaa" w:hAnsi="Comfortaa"/>
        </w:rPr>
      </w:pPr>
      <w:bookmarkStart w:colFirst="0" w:colLast="0" w:name="_heading=h.8puoch2w0h0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omfortaa" w:cs="Comfortaa" w:eastAsia="Comfortaa" w:hAnsi="Comfortaa"/>
          <w:b w:val="1"/>
        </w:rPr>
      </w:pPr>
      <w:bookmarkStart w:colFirst="0" w:colLast="0" w:name="_heading=h.yek8trxv3biu" w:id="6"/>
      <w:bookmarkEnd w:id="6"/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Recursos: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Comfortaa" w:cs="Comfortaa" w:eastAsia="Comfortaa" w:hAnsi="Comfortaa"/>
        </w:rPr>
      </w:pPr>
      <w:hyperlink r:id="rId7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La mirada invisible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Comfortaa" w:cs="Comfortaa" w:eastAsia="Comfortaa" w:hAnsi="Comfortaa"/>
        </w:rPr>
      </w:pPr>
      <w:hyperlink r:id="rId8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La escuela contra el margen</w:t>
        </w:r>
      </w:hyperlink>
      <w:r w:rsidDel="00000000" w:rsidR="00000000" w:rsidRPr="00000000">
        <w:rPr>
          <w:rFonts w:ascii="Comfortaa" w:cs="Comfortaa" w:eastAsia="Comfortaa" w:hAnsi="Comfortaa"/>
          <w:rtl w:val="0"/>
        </w:rPr>
        <w:t xml:space="preserve">  (hasta el minuto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0" w:firstLine="0"/>
        <w:jc w:val="both"/>
        <w:rPr>
          <w:rFonts w:ascii="Comfortaa" w:cs="Comfortaa" w:eastAsia="Comfortaa" w:hAnsi="Comfortaa"/>
          <w:color w:val="1155cc"/>
          <w:u w:val="single"/>
        </w:rPr>
      </w:pPr>
      <w:hyperlink r:id="rId9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Educación Profesional Secundaria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0" w:firstLine="0"/>
        <w:jc w:val="both"/>
        <w:rPr>
          <w:rFonts w:ascii="Comfortaa" w:cs="Comfortaa" w:eastAsia="Comfortaa" w:hAnsi="Comfortaa"/>
          <w:b w:val="1"/>
        </w:rPr>
      </w:pPr>
      <w:hyperlink r:id="rId10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Bachillerato popular Paulo Freire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Orientaciones para la elaboración: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Comfortaa" w:cs="Comfortaa" w:eastAsia="Comfortaa" w:hAnsi="Comfortaa"/>
          <w:i w:val="1"/>
        </w:rPr>
      </w:pP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Modalidad individual.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Comfortaa" w:cs="Comfortaa" w:eastAsia="Comfortaa" w:hAnsi="Comfortaa"/>
          <w:i w:val="1"/>
        </w:rPr>
      </w:pP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Extensión del trabajo: 4 a 6 carillas. Quedan exceptuadas de la cantidad máxima de extensión la portada y bibliografía.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Comfortaa" w:cs="Comfortaa" w:eastAsia="Comfortaa" w:hAnsi="Comfortaa"/>
          <w:i w:val="1"/>
        </w:rPr>
      </w:pP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Presentación del trabajo: portada, desarrollo y bibliografía utilizada, formato hoja A4, letra: Arial o Calibri, tamaño 11, o Times New Roman 12,; interlineado 1.5, márgenes 2,5.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Comfortaa" w:cs="Comfortaa" w:eastAsia="Comfortaa" w:hAnsi="Comfortaa"/>
          <w:i w:val="1"/>
        </w:rPr>
      </w:pP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Si van a tomar referencias de autores textuales, realizar las citas correspondientes según normas APA.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Fecha de entrega:  martes 4 junio a las 23.59h. por el espacio generado en Moodle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Comfortaa" w:cs="Comfortaa" w:eastAsia="Comfortaa" w:hAnsi="Comfortaa"/>
          <w:i w:val="1"/>
          <w:highlight w:val="yellow"/>
        </w:rPr>
      </w:pPr>
      <w:r w:rsidDel="00000000" w:rsidR="00000000" w:rsidRPr="00000000">
        <w:rPr>
          <w:rFonts w:ascii="Comfortaa" w:cs="Comfortaa" w:eastAsia="Comfortaa" w:hAnsi="Comfortaa"/>
          <w:i w:val="1"/>
          <w:highlight w:val="yellow"/>
          <w:rtl w:val="0"/>
        </w:rPr>
        <w:t xml:space="preserve">RECUERDEN NOMBRAR EL ARCHIVO CON SU APELLIDO Y NOMBRE. (Gómez_Paola_2parcial)</w:t>
      </w:r>
    </w:p>
    <w:p w:rsidR="00000000" w:rsidDel="00000000" w:rsidP="00000000" w:rsidRDefault="00000000" w:rsidRPr="00000000" w14:paraId="00000021">
      <w:pPr>
        <w:spacing w:after="0" w:line="360" w:lineRule="auto"/>
        <w:ind w:left="720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Criterios de corrección: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Redacción fluida (coherencia y cohesión) de los relatos con vinculación entre los párrafos usando conectores y reglas de escritura.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Recuperación de nociones teóricas y sus aportes para la desnaturalización de ideas previas.</w:t>
      </w:r>
    </w:p>
    <w:p w:rsidR="00000000" w:rsidDel="00000000" w:rsidP="00000000" w:rsidRDefault="00000000" w:rsidRPr="00000000" w14:paraId="00000026">
      <w:pPr>
        <w:spacing w:after="0" w:line="360" w:lineRule="auto"/>
        <w:ind w:left="720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left="360" w:firstLine="0"/>
        <w:jc w:val="both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BIBLIOGRAFÍA</w:t>
      </w:r>
    </w:p>
    <w:p w:rsidR="00000000" w:rsidDel="00000000" w:rsidP="00000000" w:rsidRDefault="00000000" w:rsidRPr="00000000" w14:paraId="00000028">
      <w:pPr>
        <w:spacing w:after="0" w:line="360" w:lineRule="auto"/>
        <w:ind w:left="360" w:firstLine="0"/>
        <w:jc w:val="both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line="360" w:lineRule="auto"/>
        <w:ind w:left="0" w:firstLine="720"/>
        <w:jc w:val="both"/>
        <w:rPr>
          <w:rFonts w:ascii="Comfortaa" w:cs="Comfortaa" w:eastAsia="Comfortaa" w:hAnsi="Comfortaa"/>
          <w:i w:val="1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Ficha de cátedra (2023). </w:t>
      </w: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Breves notas sobre la constitución del Sistema Educativo Argentino: desde la búsqueda de una homogeneidad intencionada a un mundo de desigualdades crecientes.</w:t>
      </w:r>
    </w:p>
    <w:p w:rsidR="00000000" w:rsidDel="00000000" w:rsidP="00000000" w:rsidRDefault="00000000" w:rsidRPr="00000000" w14:paraId="0000002A">
      <w:pPr>
        <w:spacing w:after="240" w:line="360" w:lineRule="auto"/>
        <w:ind w:left="0" w:firstLine="72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Aiello, B., Borel, M. C., Iriarte, L., Montano, A., Sassi, V. y Yasbitzky, A. C. (2012). Las instituciones escolares bajo la lupa: acerca de la microfísica del poder en las escuelas En </w:t>
      </w: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Extrañar la escuela. Un dispositivo pedagógico para la formación docente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. Baudino Ediciones, Buenos Aires.</w:t>
      </w:r>
    </w:p>
    <w:p w:rsidR="00000000" w:rsidDel="00000000" w:rsidP="00000000" w:rsidRDefault="00000000" w:rsidRPr="00000000" w14:paraId="0000002B">
      <w:pPr>
        <w:spacing w:after="440" w:line="276" w:lineRule="auto"/>
        <w:ind w:left="0" w:firstLine="72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Greco, M. B. (2011). Ficciones y versiones sobre la autoridad. Pensar la educación en tiempos de transformación. En </w:t>
      </w: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Autoridad y transmisión: niños y jóvenes en la mira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. Noveduc, Buenos Aires.</w:t>
      </w:r>
    </w:p>
    <w:p w:rsidR="00000000" w:rsidDel="00000000" w:rsidP="00000000" w:rsidRDefault="00000000" w:rsidRPr="00000000" w14:paraId="0000002C">
      <w:pPr>
        <w:spacing w:after="240" w:line="276" w:lineRule="auto"/>
        <w:ind w:left="0" w:firstLine="72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Gvirtz, S., Grinberg, S. y Abregú, V. (2007). ¿Cuándo se inventó la escuela? En </w:t>
      </w: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La educación: ayer, hoy y mañana. El ABC de la pedagogía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. Aique. (Pp. 30-41).</w:t>
      </w:r>
    </w:p>
    <w:p w:rsidR="00000000" w:rsidDel="00000000" w:rsidP="00000000" w:rsidRDefault="00000000" w:rsidRPr="00000000" w14:paraId="0000002D">
      <w:pPr>
        <w:spacing w:after="240" w:line="360" w:lineRule="auto"/>
        <w:ind w:left="0" w:firstLine="72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Hillert, F. (2015) Educación democrática y popular en la escuela pública. En Suárez, D., Hillert, F., Ouviña, H., y Rigal, L. </w:t>
      </w: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Pedagogías críticas en América Latina. Experiencias alternativas de Educación Popular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. Noveduc (pp. 55-91).</w:t>
      </w:r>
    </w:p>
    <w:p w:rsidR="00000000" w:rsidDel="00000000" w:rsidP="00000000" w:rsidRDefault="00000000" w:rsidRPr="00000000" w14:paraId="0000002E">
      <w:pPr>
        <w:spacing w:after="240" w:line="360" w:lineRule="auto"/>
        <w:ind w:left="0" w:firstLine="72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Southwell, M. (2011). “Pasado y presente de la forma escolar para la escuela media” En </w:t>
      </w: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Práxis Educativa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, Ponta Grossa, v.6, n.1, (Pp. 67-78).</w:t>
      </w:r>
    </w:p>
    <w:p w:rsidR="00000000" w:rsidDel="00000000" w:rsidP="00000000" w:rsidRDefault="00000000" w:rsidRPr="00000000" w14:paraId="0000002F">
      <w:pPr>
        <w:spacing w:after="240" w:line="360" w:lineRule="auto"/>
        <w:ind w:left="0" w:firstLine="72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Pineau, P. (2001) ¿Por qué triunfó la escuela? En </w:t>
      </w: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La escuela como máquina de educar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. Paidós (pp. 27-52).</w:t>
      </w:r>
    </w:p>
    <w:p w:rsidR="00000000" w:rsidDel="00000000" w:rsidP="00000000" w:rsidRDefault="00000000" w:rsidRPr="00000000" w14:paraId="00000030">
      <w:pPr>
        <w:spacing w:after="240" w:line="360" w:lineRule="auto"/>
        <w:ind w:left="0" w:firstLine="72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Visotsky, J. (2023) Interseccionalidad crítica versus descriptiva: hacia una herramienta política de liberación de los pueblos. </w:t>
      </w: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UTOPÍA Y PRAXIS LATINOAMERICANA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. AÑO: 28, n.o 103. CESA-FCES-UNIVERSIDAD DEL ZULIA.</w:t>
      </w:r>
    </w:p>
    <w:p w:rsidR="00000000" w:rsidDel="00000000" w:rsidP="00000000" w:rsidRDefault="00000000" w:rsidRPr="00000000" w14:paraId="00000031">
      <w:pPr>
        <w:spacing w:after="240" w:line="360" w:lineRule="auto"/>
        <w:ind w:left="0" w:firstLine="72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Walsh, C. (2013) “El pensamiento y pedagogía de Freire y Fanon”. En: Pedagogías decoloniales. Prácticas insurgentes de resistir, (re) existir y (re) vivir. Quito, Abda Yala, pp. 37-56.</w:t>
      </w:r>
    </w:p>
    <w:p w:rsidR="00000000" w:rsidDel="00000000" w:rsidP="00000000" w:rsidRDefault="00000000" w:rsidRPr="00000000" w14:paraId="00000032">
      <w:pPr>
        <w:spacing w:after="0" w:line="360" w:lineRule="auto"/>
        <w:ind w:left="360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spacing w:line="240" w:lineRule="auto"/>
      <w:ind w:hanging="567"/>
      <w:jc w:val="right"/>
      <w:rPr>
        <w:rFonts w:ascii="Times New Roman" w:cs="Times New Roman" w:eastAsia="Times New Roman" w:hAnsi="Times New Roman"/>
        <w:b w:val="1"/>
        <w:i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rtl w:val="0"/>
      </w:rPr>
      <w:t xml:space="preserve">UNIVERSIDAD NACIONAL DEL SUR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-311668</wp:posOffset>
          </wp:positionH>
          <wp:positionV relativeFrom="paragraph">
            <wp:posOffset>-103273</wp:posOffset>
          </wp:positionV>
          <wp:extent cx="689228" cy="707563"/>
          <wp:effectExtent b="0" l="0" r="0" t="0"/>
          <wp:wrapSquare wrapText="bothSides" distB="0" distT="0" distL="114300" distR="114300"/>
          <wp:docPr descr="Departamento de Ciencias de la Administración – UNS – Departamento de  Ciencias de la Administración" id="2" name="image1.png"/>
          <a:graphic>
            <a:graphicData uri="http://schemas.openxmlformats.org/drawingml/2006/picture">
              <pic:pic>
                <pic:nvPicPr>
                  <pic:cNvPr descr="Departamento de Ciencias de la Administración – UNS – Departamento de  Ciencias de la Administració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228" cy="707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spacing w:line="240" w:lineRule="auto"/>
      <w:ind w:left="1440" w:hanging="567"/>
      <w:jc w:val="right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Departamento de Ciencias de la Educación</w:t>
    </w:r>
  </w:p>
  <w:p w:rsidR="00000000" w:rsidDel="00000000" w:rsidP="00000000" w:rsidRDefault="00000000" w:rsidRPr="00000000" w14:paraId="00000038">
    <w:pPr>
      <w:spacing w:line="240" w:lineRule="auto"/>
      <w:ind w:left="2880" w:hanging="566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Teoría Educativa – 2024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6C02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806C02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  <w:lang w:eastAsia="es-ES"/>
    </w:rPr>
  </w:style>
  <w:style w:type="paragraph" w:styleId="Default" w:customStyle="1">
    <w:name w:val="Default"/>
    <w:rsid w:val="00806C0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806C02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6B63BC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6B63B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6B63BC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youtube.com/watch?v=SjRsiUydcmo" TargetMode="External"/><Relationship Id="rId9" Type="http://schemas.openxmlformats.org/officeDocument/2006/relationships/hyperlink" Target="https://www.youtube.com/watch?v=IlSf2hJ5e-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BoWAw6nX6K8&amp;t=33s" TargetMode="External"/><Relationship Id="rId8" Type="http://schemas.openxmlformats.org/officeDocument/2006/relationships/hyperlink" Target="https://drive.google.com/file/d/1reEvfdrjsyKEu8iwjXF-4z0wLO4hMoer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y6mSgtj1CYbyqF9o1cUsed7gQ==">CgMxLjAyDmguajJkMTZhOXlwcWFkMg5oLjl2aW90MWY4azh2eTIOaC54azBkZmtleTQxeXMyCGguZ2pkZ3hzMg5oLnNpcmQyNHZ5eHc1cjIOaC44cHVvY2gydzBoMDgyDmgueWVrOHRyeHYzYml1OAByITFZbXU1R0ZQTnhyanVOeGgwcTg2c0tqSzZCTERDME9TaA==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2022-05-27T12:48:00Z</dcterms:created>
  <dc:creator>inesciccioli@gmail.com</dc:creator>
</cp:coreProperties>
</file>