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1"/>
          <w:smallCaps w:val="0"/>
          <w:strike w:val="0"/>
          <w:sz w:val="24"/>
          <w:szCs w:val="24"/>
          <w:u w:val="none"/>
          <w:shd w:fill="auto" w:val="clear"/>
          <w:vertAlign w:val="baseline"/>
        </w:rPr>
      </w:pPr>
      <w:bookmarkStart w:colFirst="0" w:colLast="0" w:name="_heading=h.gjdgxs" w:id="0"/>
      <w:bookmarkEnd w:id="0"/>
      <w:r w:rsidDel="00000000" w:rsidR="00000000" w:rsidRPr="00000000">
        <w:rPr>
          <w:rFonts w:ascii="Georgia" w:cs="Georgia" w:eastAsia="Georgia" w:hAnsi="Georgia"/>
          <w:b w:val="1"/>
          <w:i w:val="1"/>
          <w:smallCaps w:val="0"/>
          <w:strike w:val="0"/>
          <w:sz w:val="24"/>
          <w:szCs w:val="24"/>
          <w:u w:val="none"/>
          <w:shd w:fill="auto" w:val="clear"/>
          <w:vertAlign w:val="baseline"/>
          <w:rtl w:val="0"/>
        </w:rPr>
        <w:t xml:space="preserve">INTRODUCCIÓN A LA ANTROPOLOGÍA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b w:val="0"/>
          <w:i w:val="0"/>
          <w:smallCaps w:val="0"/>
          <w:strike w:val="0"/>
          <w:sz w:val="24"/>
          <w:szCs w:val="24"/>
          <w:u w:val="none"/>
          <w:shd w:fill="auto" w:val="clear"/>
          <w:vertAlign w:val="baseline"/>
          <w:rtl w:val="0"/>
        </w:rPr>
        <w:t xml:space="preserve">Segundo examen </w:t>
      </w:r>
      <w:r w:rsidDel="00000000" w:rsidR="00000000" w:rsidRPr="00000000">
        <w:rPr>
          <w:rFonts w:ascii="Georgia" w:cs="Georgia" w:eastAsia="Georgia" w:hAnsi="Georgia"/>
          <w:sz w:val="24"/>
          <w:szCs w:val="24"/>
          <w:rtl w:val="0"/>
        </w:rPr>
        <w:t xml:space="preserve">parcial</w:t>
      </w:r>
      <w:r w:rsidDel="00000000" w:rsidR="00000000" w:rsidRPr="00000000">
        <w:rPr>
          <w:rFonts w:ascii="Georgia" w:cs="Georgia" w:eastAsia="Georgia" w:hAnsi="Georgia"/>
          <w:b w:val="0"/>
          <w:i w:val="0"/>
          <w:smallCaps w:val="0"/>
          <w:strike w:val="0"/>
          <w:sz w:val="24"/>
          <w:szCs w:val="24"/>
          <w:u w:val="none"/>
          <w:shd w:fill="auto" w:val="clear"/>
          <w:vertAlign w:val="baseline"/>
          <w:rtl w:val="0"/>
        </w:rPr>
        <w:t xml:space="preserve">. Martes 21 de julio a Viernes 24 de Junio de 2020.</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1) 1.a ¿Cuáles son las cuatro funciones del matrimonio según George Murdock? y 1.b. Maurice Godelier citando a Esther Goody estableció la existencia de cinco funciones paterno-maternas, ¿cuáles son?</w:t>
      </w:r>
    </w:p>
    <w:p w:rsidR="00000000" w:rsidDel="00000000" w:rsidP="00000000" w:rsidRDefault="00000000" w:rsidRPr="00000000" w14:paraId="00000005">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2)¿Qué diferencias existen entre un linaje y un clan?  ¿Y entre estos dos grupos corporativos y la familia nuclear?</w:t>
      </w:r>
    </w:p>
    <w:p w:rsidR="00000000" w:rsidDel="00000000" w:rsidP="00000000" w:rsidRDefault="00000000" w:rsidRPr="00000000" w14:paraId="00000006">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3)Respecto a las pautas de residencialidad se conocen siete de ellas, defina la patri-localidad y diferénciela de la viri-localiad.</w:t>
      </w:r>
    </w:p>
    <w:p w:rsidR="00000000" w:rsidDel="00000000" w:rsidP="00000000" w:rsidRDefault="00000000" w:rsidRPr="00000000" w14:paraId="00000007">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4)Ordene las características distintivas de una organización política en </w:t>
      </w:r>
      <w:r w:rsidDel="00000000" w:rsidR="00000000" w:rsidRPr="00000000">
        <w:rPr>
          <w:rFonts w:ascii="Georgia" w:cs="Georgia" w:eastAsia="Georgia" w:hAnsi="Georgia"/>
          <w:i w:val="1"/>
          <w:sz w:val="24"/>
          <w:szCs w:val="24"/>
          <w:rtl w:val="0"/>
        </w:rPr>
        <w:t xml:space="preserve">banda</w:t>
      </w:r>
      <w:r w:rsidDel="00000000" w:rsidR="00000000" w:rsidRPr="00000000">
        <w:rPr>
          <w:rFonts w:ascii="Georgia" w:cs="Georgia" w:eastAsia="Georgia" w:hAnsi="Georgia"/>
          <w:sz w:val="24"/>
          <w:szCs w:val="24"/>
          <w:rtl w:val="0"/>
        </w:rPr>
        <w:t xml:space="preserve">. Haga lo mismo con respecto a </w:t>
      </w:r>
      <w:r w:rsidDel="00000000" w:rsidR="00000000" w:rsidRPr="00000000">
        <w:rPr>
          <w:rFonts w:ascii="Georgia" w:cs="Georgia" w:eastAsia="Georgia" w:hAnsi="Georgia"/>
          <w:i w:val="1"/>
          <w:sz w:val="24"/>
          <w:szCs w:val="24"/>
          <w:rtl w:val="0"/>
        </w:rPr>
        <w:t xml:space="preserve">tribu</w:t>
      </w:r>
      <w:r w:rsidDel="00000000" w:rsidR="00000000" w:rsidRPr="00000000">
        <w:rPr>
          <w:rFonts w:ascii="Georgia" w:cs="Georgia" w:eastAsia="Georgia" w:hAnsi="Georgia"/>
          <w:sz w:val="24"/>
          <w:szCs w:val="24"/>
          <w:rtl w:val="0"/>
        </w:rPr>
        <w:t xml:space="preserve">, y luego establezca separadamente en qué se diferencian bandas y tribus y cuáles son los rasgos que presentan en común.</w:t>
      </w:r>
    </w:p>
    <w:p w:rsidR="00000000" w:rsidDel="00000000" w:rsidP="00000000" w:rsidRDefault="00000000" w:rsidRPr="00000000" w14:paraId="00000008">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5)Ember, Ember y Peregrine  presentan una clasificación de las vías disponibles para la resolución pacífica o violenta de los conflictos. ¿Cuáles son y cómo se definen cada una de esas vías en el caso de la resolución pacífica? </w:t>
      </w:r>
    </w:p>
    <w:p w:rsidR="00000000" w:rsidDel="00000000" w:rsidP="00000000" w:rsidRDefault="00000000" w:rsidRPr="00000000" w14:paraId="00000009">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6)Earle al hablar del poder económico como fuente de poder social menciona que existen distintas clases de bienes relacionados con el manejo de este poder describa ¿Cómo define el autor  estos tipos distintos de bienes y su importancia en función de ese manejo?</w:t>
      </w:r>
    </w:p>
    <w:p w:rsidR="00000000" w:rsidDel="00000000" w:rsidP="00000000" w:rsidRDefault="00000000" w:rsidRPr="00000000" w14:paraId="0000000A">
      <w:pPr>
        <w:shd w:fill="ffffff" w:val="clear"/>
        <w:spacing w:after="0" w:line="24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rtl w:val="0"/>
        </w:rPr>
        <w:t xml:space="preserve">7) </w:t>
      </w:r>
      <w:r w:rsidDel="00000000" w:rsidR="00000000" w:rsidRPr="00000000">
        <w:rPr>
          <w:rFonts w:ascii="Georgia" w:cs="Georgia" w:eastAsia="Georgia" w:hAnsi="Georgia"/>
          <w:sz w:val="24"/>
          <w:szCs w:val="24"/>
          <w:highlight w:val="white"/>
          <w:rtl w:val="0"/>
        </w:rPr>
        <w:t xml:space="preserve">Explique la propuesta de G. Rubin, a lo que ella denomina una "Economía política del sexo"</w:t>
      </w:r>
    </w:p>
    <w:p w:rsidR="00000000" w:rsidDel="00000000" w:rsidP="00000000" w:rsidRDefault="00000000" w:rsidRPr="00000000" w14:paraId="0000000B">
      <w:pPr>
        <w:shd w:fill="ffffff" w:val="clear"/>
        <w:spacing w:after="0"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8) Explique por qué afirma R. Segato que el culto Xangó hace un esfuerzo por diferenciarse de la ideología familiar dominante en Brasil (Qué mecanismos familiares pone en juego el culto).</w:t>
      </w:r>
    </w:p>
    <w:p w:rsidR="00000000" w:rsidDel="00000000" w:rsidP="00000000" w:rsidRDefault="00000000" w:rsidRPr="00000000" w14:paraId="0000000D">
      <w:pPr>
        <w:shd w:fill="ffffff" w:val="clear"/>
        <w:spacing w:after="0"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shd w:fill="ffffff" w:val="clear"/>
        <w:spacing w:after="0" w:line="240" w:lineRule="auto"/>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9) </w:t>
      </w:r>
      <w:r w:rsidDel="00000000" w:rsidR="00000000" w:rsidRPr="00000000">
        <w:rPr>
          <w:rFonts w:ascii="Georgia" w:cs="Georgia" w:eastAsia="Georgia" w:hAnsi="Georgia"/>
          <w:sz w:val="24"/>
          <w:szCs w:val="24"/>
          <w:highlight w:val="white"/>
          <w:rtl w:val="0"/>
        </w:rPr>
        <w:t xml:space="preserve">¿A qué hace referencia H. Carby con el concepto de "Herstory"?</w:t>
      </w:r>
      <w:r w:rsidDel="00000000" w:rsidR="00000000" w:rsidRPr="00000000">
        <w:rPr>
          <w:rtl w:val="0"/>
        </w:rPr>
      </w:r>
    </w:p>
    <w:p w:rsidR="00000000" w:rsidDel="00000000" w:rsidP="00000000" w:rsidRDefault="00000000" w:rsidRPr="00000000" w14:paraId="0000000F">
      <w:pPr>
        <w:shd w:fill="ffffff" w:val="clear"/>
        <w:spacing w:after="0" w:line="240" w:lineRule="auto"/>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10) ¿En qué se diferencian el animismo de E.B. Tylor del animstismo de Marett?</w:t>
      </w:r>
    </w:p>
    <w:p w:rsidR="00000000" w:rsidDel="00000000" w:rsidP="00000000" w:rsidRDefault="00000000" w:rsidRPr="00000000" w14:paraId="00000011">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3">
      <w:pPr>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5">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ind w:left="72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ind w:left="0"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Según Murdock las cuatro funciones del matrimonio son </w:t>
      </w:r>
    </w:p>
    <w:p w:rsidR="00000000" w:rsidDel="00000000" w:rsidP="00000000" w:rsidRDefault="00000000" w:rsidRPr="00000000" w14:paraId="0000001A">
      <w:pPr>
        <w:numPr>
          <w:ilvl w:val="1"/>
          <w:numId w:val="2"/>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Regular las relaciones sexuales entre individuos (no niega la existencia o el impacto del sexo pre-marital o extramarital, pero afirma que la familia ofrece una salida sexual socialmente legítima para los adultos). (sexual)</w:t>
      </w:r>
    </w:p>
    <w:p w:rsidR="00000000" w:rsidDel="00000000" w:rsidP="00000000" w:rsidRDefault="00000000" w:rsidRPr="00000000" w14:paraId="0000001B">
      <w:pPr>
        <w:numPr>
          <w:ilvl w:val="1"/>
          <w:numId w:val="2"/>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Dar lugar a la reproducción (a través de la regulación de relaciones sexuales). (reproductiva)</w:t>
      </w:r>
      <w:r w:rsidDel="00000000" w:rsidR="00000000" w:rsidRPr="00000000">
        <w:rPr>
          <w:rtl w:val="0"/>
        </w:rPr>
      </w:r>
    </w:p>
    <w:p w:rsidR="00000000" w:rsidDel="00000000" w:rsidP="00000000" w:rsidRDefault="00000000" w:rsidRPr="00000000" w14:paraId="0000001C">
      <w:pPr>
        <w:numPr>
          <w:ilvl w:val="1"/>
          <w:numId w:val="2"/>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Enseñar a los hijos las formas de pensar y actuar que estén de acuerdo con las normas sociales y culturales, valores creencias y actitudes. (enculcativa)</w:t>
      </w:r>
      <w:r w:rsidDel="00000000" w:rsidR="00000000" w:rsidRPr="00000000">
        <w:rPr>
          <w:rtl w:val="0"/>
        </w:rPr>
      </w:r>
    </w:p>
    <w:p w:rsidR="00000000" w:rsidDel="00000000" w:rsidP="00000000" w:rsidRDefault="00000000" w:rsidRPr="00000000" w14:paraId="0000001D">
      <w:pPr>
        <w:numPr>
          <w:ilvl w:val="1"/>
          <w:numId w:val="2"/>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Inculcar a los niños los roles de género, que son una parte importante de la función económica de la familia. (económica)</w:t>
      </w:r>
    </w:p>
    <w:p w:rsidR="00000000" w:rsidDel="00000000" w:rsidP="00000000" w:rsidRDefault="00000000" w:rsidRPr="00000000" w14:paraId="0000001E">
      <w:pPr>
        <w:spacing w:after="0" w:lineRule="auto"/>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w:t>
      </w:r>
      <w:r w:rsidDel="00000000" w:rsidR="00000000" w:rsidRPr="00000000">
        <w:rPr>
          <w:rFonts w:ascii="Verdana" w:cs="Verdana" w:eastAsia="Verdana" w:hAnsi="Verdana"/>
          <w:b w:val="1"/>
          <w:sz w:val="24"/>
          <w:szCs w:val="24"/>
          <w:rtl w:val="0"/>
        </w:rPr>
        <w:t xml:space="preserve"> </w:t>
      </w:r>
      <w:r w:rsidDel="00000000" w:rsidR="00000000" w:rsidRPr="00000000">
        <w:rPr>
          <w:rFonts w:ascii="Verdana" w:cs="Verdana" w:eastAsia="Verdana" w:hAnsi="Verdana"/>
          <w:sz w:val="24"/>
          <w:szCs w:val="24"/>
          <w:rtl w:val="0"/>
        </w:rPr>
        <w:t xml:space="preserve">Las funciones paterno-maternas son:</w:t>
      </w:r>
    </w:p>
    <w:p w:rsidR="00000000" w:rsidDel="00000000" w:rsidP="00000000" w:rsidRDefault="00000000" w:rsidRPr="00000000" w14:paraId="0000001F">
      <w:pPr>
        <w:numPr>
          <w:ilvl w:val="0"/>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Concebir, engendrar</w:t>
      </w:r>
    </w:p>
    <w:p w:rsidR="00000000" w:rsidDel="00000000" w:rsidP="00000000" w:rsidRDefault="00000000" w:rsidRPr="00000000" w14:paraId="00000020">
      <w:pPr>
        <w:numPr>
          <w:ilvl w:val="0"/>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Alimentar, criar, proteger</w:t>
      </w:r>
    </w:p>
    <w:p w:rsidR="00000000" w:rsidDel="00000000" w:rsidP="00000000" w:rsidRDefault="00000000" w:rsidRPr="00000000" w14:paraId="00000021">
      <w:pPr>
        <w:numPr>
          <w:ilvl w:val="0"/>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Instruir, formar, educar</w:t>
      </w:r>
    </w:p>
    <w:p w:rsidR="00000000" w:rsidDel="00000000" w:rsidP="00000000" w:rsidRDefault="00000000" w:rsidRPr="00000000" w14:paraId="00000022">
      <w:pPr>
        <w:numPr>
          <w:ilvl w:val="0"/>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Ser garantes del ser frente a terceros, tomar responsabilidad por su conducta</w:t>
      </w:r>
    </w:p>
    <w:p w:rsidR="00000000" w:rsidDel="00000000" w:rsidP="00000000" w:rsidRDefault="00000000" w:rsidRPr="00000000" w14:paraId="00000023">
      <w:pPr>
        <w:numPr>
          <w:ilvl w:val="0"/>
          <w:numId w:val="3"/>
        </w:numPr>
        <w:spacing w:after="0" w:lineRule="auto"/>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Dotar al niño/a de status y derechos desde el momento del nacimiento</w:t>
      </w:r>
    </w:p>
    <w:p w:rsidR="00000000" w:rsidDel="00000000" w:rsidP="00000000" w:rsidRDefault="00000000" w:rsidRPr="00000000" w14:paraId="00000024">
      <w:pPr>
        <w:ind w:left="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linajes son grupos cuya descendencia se traza a través de la línea masculina (llamado patrilinaje) o la línea femenina (llamado matrilinaje) y los clanes son un grupo de linaje con una línea común de descendencia que se remonta a un solo antepasado.</w:t>
      </w:r>
    </w:p>
    <w:p w:rsidR="00000000" w:rsidDel="00000000" w:rsidP="00000000" w:rsidRDefault="00000000" w:rsidRPr="00000000" w14:paraId="00000026">
      <w:pPr>
        <w:ind w:left="7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familia nuclear solo incluye en el grupo a un matrimonio entre hombre y mujer, y a los hijos de estos.</w:t>
      </w:r>
    </w:p>
    <w:p w:rsidR="00000000" w:rsidDel="00000000" w:rsidP="00000000" w:rsidRDefault="00000000" w:rsidRPr="00000000" w14:paraId="00000027">
      <w:pPr>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patrilocalidad se refiere a la convivencia con el padre del esposo en un matrimonio en cambio la virilocalidad significa la convivencia con la familia del esposo.</w:t>
      </w:r>
    </w:p>
    <w:p w:rsidR="00000000" w:rsidDel="00000000" w:rsidP="00000000" w:rsidRDefault="00000000" w:rsidRPr="00000000" w14:paraId="00000029">
      <w:pPr>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color w:val="4d5156"/>
          <w:sz w:val="24"/>
          <w:szCs w:val="24"/>
          <w:highlight w:val="white"/>
          <w:rtl w:val="0"/>
        </w:rPr>
        <w:t xml:space="preserve">  </w:t>
      </w:r>
      <w:sdt>
        <w:sdtPr>
          <w:tag w:val="goog_rdk_0"/>
        </w:sdtPr>
        <w:sdtContent>
          <w:r w:rsidDel="00000000" w:rsidR="00000000" w:rsidRPr="00000000">
            <w:rPr>
              <w:rFonts w:ascii="Arial Unicode MS" w:cs="Arial Unicode MS" w:eastAsia="Arial Unicode MS" w:hAnsi="Arial Unicode MS"/>
              <w:sz w:val="24"/>
              <w:szCs w:val="24"/>
              <w:highlight w:val="white"/>
              <w:rtl w:val="0"/>
            </w:rPr>
            <w:t xml:space="preserve">➥ </w:t>
          </w:r>
        </w:sdtContent>
      </w:sdt>
      <w:r w:rsidDel="00000000" w:rsidR="00000000" w:rsidRPr="00000000">
        <w:rPr>
          <w:rFonts w:ascii="Verdana" w:cs="Verdana" w:eastAsia="Verdana" w:hAnsi="Verdana"/>
          <w:sz w:val="24"/>
          <w:szCs w:val="24"/>
          <w:rtl w:val="0"/>
        </w:rPr>
        <w:t xml:space="preserve">Bandas: </w:t>
      </w:r>
    </w:p>
    <w:p w:rsidR="00000000" w:rsidDel="00000000" w:rsidP="00000000" w:rsidRDefault="00000000" w:rsidRPr="00000000" w14:paraId="0000002B">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cazadores-recolectores, la domesticación es escasa o inexistente</w:t>
      </w:r>
    </w:p>
    <w:p w:rsidR="00000000" w:rsidDel="00000000" w:rsidP="00000000" w:rsidRDefault="00000000" w:rsidRPr="00000000" w14:paraId="0000002C">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líderes informales o provisionales con función de árbitro en la toma colectiva de decisiones</w:t>
      </w:r>
    </w:p>
    <w:p w:rsidR="00000000" w:rsidDel="00000000" w:rsidP="00000000" w:rsidRDefault="00000000" w:rsidRPr="00000000" w14:paraId="0000002D">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parentesco bilateral</w:t>
      </w:r>
    </w:p>
    <w:p w:rsidR="00000000" w:rsidDel="00000000" w:rsidP="00000000" w:rsidRDefault="00000000" w:rsidRPr="00000000" w14:paraId="0000002E">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alianzas matrimoniales propician grupos mayores, bandas unidas por parentesco y familia</w:t>
      </w:r>
    </w:p>
    <w:p w:rsidR="00000000" w:rsidDel="00000000" w:rsidP="00000000" w:rsidRDefault="00000000" w:rsidRPr="00000000" w14:paraId="0000002F">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independencia económica basada en reciprocidad</w:t>
      </w:r>
    </w:p>
    <w:p w:rsidR="00000000" w:rsidDel="00000000" w:rsidP="00000000" w:rsidRDefault="00000000" w:rsidRPr="00000000" w14:paraId="00000030">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liderazgo recae en aquellos con conocimientos o habilidades especiales</w:t>
      </w:r>
    </w:p>
    <w:p w:rsidR="00000000" w:rsidDel="00000000" w:rsidP="00000000" w:rsidRDefault="00000000" w:rsidRPr="00000000" w14:paraId="00000031">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estratificación social es igualitaria</w:t>
      </w:r>
    </w:p>
    <w:p w:rsidR="00000000" w:rsidDel="00000000" w:rsidP="00000000" w:rsidRDefault="00000000" w:rsidRPr="00000000" w14:paraId="00000032">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escaso o nulo sentido de la propiedad</w:t>
      </w:r>
    </w:p>
    <w:p w:rsidR="00000000" w:rsidDel="00000000" w:rsidP="00000000" w:rsidRDefault="00000000" w:rsidRPr="00000000" w14:paraId="00000033">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tienen leyes ni castigos; el derecho del uso de la fuerza es comunitario </w:t>
      </w:r>
    </w:p>
    <w:p w:rsidR="00000000" w:rsidDel="00000000" w:rsidP="00000000" w:rsidRDefault="00000000" w:rsidRPr="00000000" w14:paraId="00000034">
      <w:pPr>
        <w:numPr>
          <w:ilvl w:val="2"/>
          <w:numId w:val="2"/>
        </w:numPr>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 profesionalización de la religión</w:t>
      </w:r>
    </w:p>
    <w:p w:rsidR="00000000" w:rsidDel="00000000" w:rsidP="00000000" w:rsidRDefault="00000000" w:rsidRPr="00000000" w14:paraId="00000035">
      <w:pPr>
        <w:ind w:left="850.3937007874017" w:firstLine="0"/>
        <w:rPr>
          <w:rFonts w:ascii="Verdana" w:cs="Verdana" w:eastAsia="Verdana" w:hAnsi="Verdana"/>
          <w:sz w:val="24"/>
          <w:szCs w:val="24"/>
        </w:rPr>
      </w:pPr>
      <w:sdt>
        <w:sdtPr>
          <w:tag w:val="goog_rdk_1"/>
        </w:sdtPr>
        <w:sdtContent>
          <w:r w:rsidDel="00000000" w:rsidR="00000000" w:rsidRPr="00000000">
            <w:rPr>
              <w:rFonts w:ascii="Arial Unicode MS" w:cs="Arial Unicode MS" w:eastAsia="Arial Unicode MS" w:hAnsi="Arial Unicode MS"/>
              <w:sz w:val="24"/>
              <w:szCs w:val="24"/>
              <w:highlight w:val="white"/>
              <w:rtl w:val="0"/>
            </w:rPr>
            <w:t xml:space="preserve"> ➥ </w:t>
          </w:r>
        </w:sdtContent>
      </w:sdt>
      <w:r w:rsidDel="00000000" w:rsidR="00000000" w:rsidRPr="00000000">
        <w:rPr>
          <w:rFonts w:ascii="Verdana" w:cs="Verdana" w:eastAsia="Verdana" w:hAnsi="Verdana"/>
          <w:sz w:val="24"/>
          <w:szCs w:val="24"/>
          <w:rtl w:val="0"/>
        </w:rPr>
        <w:t xml:space="preserve">Tribus:</w:t>
      </w:r>
    </w:p>
    <w:p w:rsidR="00000000" w:rsidDel="00000000" w:rsidP="00000000" w:rsidRDefault="00000000" w:rsidRPr="00000000" w14:paraId="00000036">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 basan en recursos alimentarios domesticados, son densamente poblados y más sedentarios en comparación</w:t>
      </w:r>
    </w:p>
    <w:p w:rsidR="00000000" w:rsidDel="00000000" w:rsidP="00000000" w:rsidRDefault="00000000" w:rsidRPr="00000000" w14:paraId="00000037">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cabecilla con cierta autoridad en la toma colectiva de decisiones</w:t>
      </w:r>
    </w:p>
    <w:p w:rsidR="00000000" w:rsidDel="00000000" w:rsidP="00000000" w:rsidRDefault="00000000" w:rsidRPr="00000000" w14:paraId="00000038">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parentesco unilineal</w:t>
      </w:r>
    </w:p>
    <w:p w:rsidR="00000000" w:rsidDel="00000000" w:rsidP="00000000" w:rsidRDefault="00000000" w:rsidRPr="00000000" w14:paraId="00000039">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comunidades autosuficientes se reúnen en grupos sociales más amplios (sodalidades pantribales), fratrias pantribales basadas en el parentesco (linajes y clanes), las asociaciones voluntarias y/o grupos de edades</w:t>
      </w:r>
    </w:p>
    <w:p w:rsidR="00000000" w:rsidDel="00000000" w:rsidP="00000000" w:rsidRDefault="00000000" w:rsidRPr="00000000" w14:paraId="0000003A">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 medios formales de sucesión política</w:t>
      </w:r>
    </w:p>
    <w:p w:rsidR="00000000" w:rsidDel="00000000" w:rsidP="00000000" w:rsidRDefault="00000000" w:rsidRPr="00000000" w14:paraId="0000003B">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reciprocidad, con comercio más desarrollado en comparación</w:t>
      </w:r>
    </w:p>
    <w:p w:rsidR="00000000" w:rsidDel="00000000" w:rsidP="00000000" w:rsidRDefault="00000000" w:rsidRPr="00000000" w14:paraId="0000003C">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sistema igualitario no centralizado</w:t>
      </w:r>
    </w:p>
    <w:p w:rsidR="00000000" w:rsidDel="00000000" w:rsidP="00000000" w:rsidRDefault="00000000" w:rsidRPr="00000000" w14:paraId="0000003D">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 leyes ni castigos formales, el derecho al uso de la fuerza pertenece al linaje, clan o asociación</w:t>
      </w:r>
    </w:p>
    <w:p w:rsidR="00000000" w:rsidDel="00000000" w:rsidP="00000000" w:rsidRDefault="00000000" w:rsidRPr="00000000" w14:paraId="0000003E">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cierta propiedad es comunal</w:t>
      </w:r>
    </w:p>
    <w:p w:rsidR="00000000" w:rsidDel="00000000" w:rsidP="00000000" w:rsidRDefault="00000000" w:rsidRPr="00000000" w14:paraId="0000003F">
      <w:pPr>
        <w:numPr>
          <w:ilvl w:val="2"/>
          <w:numId w:val="2"/>
        </w:numPr>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 hay profesionalización religiosa</w:t>
      </w:r>
    </w:p>
    <w:p w:rsidR="00000000" w:rsidDel="00000000" w:rsidP="00000000" w:rsidRDefault="00000000" w:rsidRPr="00000000" w14:paraId="00000040">
      <w:pPr>
        <w:ind w:left="720" w:firstLine="0"/>
        <w:rPr>
          <w:rFonts w:ascii="Verdana" w:cs="Verdana" w:eastAsia="Verdana" w:hAnsi="Verdana"/>
          <w:sz w:val="24"/>
          <w:szCs w:val="24"/>
          <w:shd w:fill="f9cb9c" w:val="clear"/>
        </w:rPr>
      </w:pPr>
      <w:r w:rsidDel="00000000" w:rsidR="00000000" w:rsidRPr="00000000">
        <w:rPr>
          <w:rFonts w:ascii="Verdana" w:cs="Verdana" w:eastAsia="Verdana" w:hAnsi="Verdana"/>
          <w:sz w:val="24"/>
          <w:szCs w:val="24"/>
          <w:shd w:fill="f9cb9c" w:val="clear"/>
          <w:rtl w:val="0"/>
        </w:rPr>
        <w:t xml:space="preserve">Diferencias</w:t>
      </w:r>
    </w:p>
    <w:p w:rsidR="00000000" w:rsidDel="00000000" w:rsidP="00000000" w:rsidRDefault="00000000" w:rsidRPr="00000000" w14:paraId="00000041">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Las bandas son cazador-recolectoras y las tribus se basan en recursos alimentarios domesticados</w:t>
      </w:r>
    </w:p>
    <w:p w:rsidR="00000000" w:rsidDel="00000000" w:rsidP="00000000" w:rsidRDefault="00000000" w:rsidRPr="00000000" w14:paraId="00000042">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Los líderes de las bandas son provisionales y en las tribus no </w:t>
      </w:r>
    </w:p>
    <w:p w:rsidR="00000000" w:rsidDel="00000000" w:rsidP="00000000" w:rsidRDefault="00000000" w:rsidRPr="00000000" w14:paraId="00000043">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parentesco unilineal puede ser la estructura básica de una tribu y la importancia o uso del parentesco varía según el tamaño de cada banda</w:t>
      </w:r>
    </w:p>
    <w:p w:rsidR="00000000" w:rsidDel="00000000" w:rsidP="00000000" w:rsidRDefault="00000000" w:rsidRPr="00000000" w14:paraId="00000044">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las bandas el liderazgo se puede heredar o obtener al ser la persona con habilidades o conocimientos especiales; en las tribus no hay un método formal de sucesión política</w:t>
      </w:r>
    </w:p>
    <w:p w:rsidR="00000000" w:rsidDel="00000000" w:rsidP="00000000" w:rsidRDefault="00000000" w:rsidRPr="00000000" w14:paraId="00000045">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comercio puede estar más desarrollado en las tribus que en las bandas</w:t>
      </w:r>
    </w:p>
    <w:p w:rsidR="00000000" w:rsidDel="00000000" w:rsidP="00000000" w:rsidRDefault="00000000" w:rsidRPr="00000000" w14:paraId="00000046">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bandas no tienen un sentido de la propiedad privada y las tribus solo tienen como comunal las tierras de cultivo y del ganado</w:t>
      </w:r>
    </w:p>
    <w:p w:rsidR="00000000" w:rsidDel="00000000" w:rsidP="00000000" w:rsidRDefault="00000000" w:rsidRPr="00000000" w14:paraId="00000047">
      <w:pPr>
        <w:numPr>
          <w:ilvl w:val="2"/>
          <w:numId w:val="2"/>
        </w:numPr>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Solo las tribus ponen un fuerte acento en los ritos de iniciación y otros ritos de transición que unen a unos linajes con otros</w:t>
      </w:r>
      <w:r w:rsidDel="00000000" w:rsidR="00000000" w:rsidRPr="00000000">
        <w:rPr>
          <w:rtl w:val="0"/>
        </w:rPr>
      </w:r>
    </w:p>
    <w:p w:rsidR="00000000" w:rsidDel="00000000" w:rsidP="00000000" w:rsidRDefault="00000000" w:rsidRPr="00000000" w14:paraId="00000048">
      <w:pPr>
        <w:ind w:left="720" w:firstLine="0"/>
        <w:rPr>
          <w:rFonts w:ascii="Verdana" w:cs="Verdana" w:eastAsia="Verdana" w:hAnsi="Verdana"/>
          <w:sz w:val="24"/>
          <w:szCs w:val="24"/>
          <w:shd w:fill="f9cb9c" w:val="clear"/>
        </w:rPr>
      </w:pPr>
      <w:r w:rsidDel="00000000" w:rsidR="00000000" w:rsidRPr="00000000">
        <w:rPr>
          <w:rFonts w:ascii="Verdana" w:cs="Verdana" w:eastAsia="Verdana" w:hAnsi="Verdana"/>
          <w:sz w:val="24"/>
          <w:szCs w:val="24"/>
          <w:shd w:fill="f9cb9c" w:val="clear"/>
          <w:rtl w:val="0"/>
        </w:rPr>
        <w:t xml:space="preserve">Rasgos en común</w:t>
      </w:r>
    </w:p>
    <w:p w:rsidR="00000000" w:rsidDel="00000000" w:rsidP="00000000" w:rsidRDefault="00000000" w:rsidRPr="00000000" w14:paraId="00000049">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principal forma de intercambio económico es la reciprocidad</w:t>
      </w:r>
    </w:p>
    <w:p w:rsidR="00000000" w:rsidDel="00000000" w:rsidP="00000000" w:rsidRDefault="00000000" w:rsidRPr="00000000" w14:paraId="0000004A">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estratificación social es igualitaria</w:t>
      </w:r>
    </w:p>
    <w:p w:rsidR="00000000" w:rsidDel="00000000" w:rsidP="00000000" w:rsidRDefault="00000000" w:rsidRPr="00000000" w14:paraId="0000004B">
      <w:pPr>
        <w:numPr>
          <w:ilvl w:val="2"/>
          <w:numId w:val="2"/>
        </w:numPr>
        <w:spacing w:after="0" w:afterAutospacing="0"/>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Sin leyes o castigos formales</w:t>
      </w:r>
    </w:p>
    <w:p w:rsidR="00000000" w:rsidDel="00000000" w:rsidP="00000000" w:rsidRDefault="00000000" w:rsidRPr="00000000" w14:paraId="0000004C">
      <w:pPr>
        <w:numPr>
          <w:ilvl w:val="2"/>
          <w:numId w:val="2"/>
        </w:numPr>
        <w:ind w:left="216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 religión chamánica</w:t>
      </w:r>
    </w:p>
    <w:p w:rsidR="00000000" w:rsidDel="00000000" w:rsidP="00000000" w:rsidRDefault="00000000" w:rsidRPr="00000000" w14:paraId="0000004D">
      <w:pPr>
        <w:ind w:left="144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Las vías de resolución de conflictos pacíficas son:</w:t>
      </w:r>
    </w:p>
    <w:p w:rsidR="00000000" w:rsidDel="00000000" w:rsidP="00000000" w:rsidRDefault="00000000" w:rsidRPr="00000000" w14:paraId="0000004F">
      <w:pPr>
        <w:numPr>
          <w:ilvl w:val="0"/>
          <w:numId w:val="1"/>
        </w:numPr>
        <w:spacing w:after="0" w:afterAutospacing="0"/>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Evitación: Cuando las partes en conflicto evitan voluntariamente la disputa o acuerdan separarse hasta reducir la tensión.</w:t>
      </w:r>
    </w:p>
    <w:p w:rsidR="00000000" w:rsidDel="00000000" w:rsidP="00000000" w:rsidRDefault="00000000" w:rsidRPr="00000000" w14:paraId="00000050">
      <w:pPr>
        <w:numPr>
          <w:ilvl w:val="0"/>
          <w:numId w:val="1"/>
        </w:numPr>
        <w:spacing w:after="0" w:afterAutospacing="0"/>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Acción comunitaria: Cuando un grupo de la sociedad actúa como un todo para resolver un conflicto. Es más común en las sociedades más simples que carecen del poder autoritario de un líder.</w:t>
      </w:r>
    </w:p>
    <w:p w:rsidR="00000000" w:rsidDel="00000000" w:rsidP="00000000" w:rsidRDefault="00000000" w:rsidRPr="00000000" w14:paraId="00000051">
      <w:pPr>
        <w:numPr>
          <w:ilvl w:val="0"/>
          <w:numId w:val="1"/>
        </w:numPr>
        <w:spacing w:after="0" w:afterAutospacing="0"/>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Negociación y mediación: Las partes llegar a un acuerdo por medio de una negociación; a veces una tercera parte se involucra tratando de ayudar o traer la concordia, sin autoridad para forzar a las partes a negociar, ni poder para forzar a tomar una solución, a esto se le llama mediación. </w:t>
      </w:r>
    </w:p>
    <w:p w:rsidR="00000000" w:rsidDel="00000000" w:rsidP="00000000" w:rsidRDefault="00000000" w:rsidRPr="00000000" w14:paraId="00000052">
      <w:pPr>
        <w:numPr>
          <w:ilvl w:val="0"/>
          <w:numId w:val="1"/>
        </w:numPr>
        <w:spacing w:after="0" w:afterAutospacing="0"/>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Ritual de reconciliación-disculpa: Por el deseo de restaurar las relaciones armónicas, la parte culpable muestra su reverencia y pide perdón.</w:t>
      </w:r>
    </w:p>
    <w:p w:rsidR="00000000" w:rsidDel="00000000" w:rsidP="00000000" w:rsidRDefault="00000000" w:rsidRPr="00000000" w14:paraId="00000053">
      <w:pPr>
        <w:numPr>
          <w:ilvl w:val="0"/>
          <w:numId w:val="1"/>
        </w:numPr>
        <w:ind w:left="144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Juramentos y ordalías: Un juramento es la acción de llamar la atencion de una deidad para apoyar la certeza de lo que se dice. Una ordalía es el sistema utilizado para determinar la culpabilidad o inocencia haciendo que el acusado realice una prueba peligrosa o dolorosa que se cree que está bajo el control sobrenatural. Los juramentos, como se puede esperar, varían ampliamente en su contexto, de acuerdo con la cultura en la que se efectúan.</w:t>
      </w:r>
    </w:p>
    <w:p w:rsidR="00000000" w:rsidDel="00000000" w:rsidP="00000000" w:rsidRDefault="00000000" w:rsidRPr="00000000" w14:paraId="00000054">
      <w:pPr>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5">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Earle define a los bienes relacionados con el manejo del poder económico como de consumo o suntuarios. Los bienes de consumo (ej. alimentos y ropas) son requeridos por todos los individuos para su subsistencia; los bienes suntuarios (ej. los utilizados para las compensaciones matrimoniales o para la ostentación política) son esenciales para mantener las estructura personales y las grupales en pie.</w:t>
      </w:r>
    </w:p>
    <w:p w:rsidR="00000000" w:rsidDel="00000000" w:rsidP="00000000" w:rsidRDefault="00000000" w:rsidRPr="00000000" w14:paraId="00000056">
      <w:pPr>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Rubin propone una lectura Marxista de la situación de las mujeres en la sociedad que conocemos, una sociedad patriarcal, destacando que Engels y Marx apuntaron al género y las relaciones sexuales como instituciones económicas, Lévi-Strauss como funciones sociales convencionales, y que Freud y Lacan los tomaron como producidos en el desarrollo psicológico del niño. Rubin apunta que en las culturas patriarcales el intercambio de mujeres perpetúa la opresión femenina ya que se pone al género femenino en una posición de mercancía apta para intercambio mientras los hombres están en la posición de capitalistas que utilizan a las mujeres para acceder a estatus y comodidades a través del valor capital dado a la mujer.</w:t>
      </w:r>
    </w:p>
    <w:p w:rsidR="00000000" w:rsidDel="00000000" w:rsidP="00000000" w:rsidRDefault="00000000" w:rsidRPr="00000000" w14:paraId="00000058">
      <w:pPr>
        <w:ind w:left="72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9">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Segato afirma que los miembros del culto Xango hacen un esfuerzo sistemático por liberar las categorías de parentesco, personalidad, género y sexualidad de las determinaciones biológicas y biogenéticas con las cuales están ligadas en la ideología dominante de la sociedad brasileña, y que desplazan a la institución del matrimonio de la posición central que ocupa que ocupa en la estructura social en esa ideología, ya que las familias no están lideradas en su gran mayoría por un hombre, si no por una madre o cabeza del hogar femenina, que a su vez puede tomar una pareja masculina y/o femenina con la que no conviven ni se atan en matrimonio, o con una pareja femenina que resida en su hogar como segunda madre o con quien comparte las tareas del hogar; las relaciones homosexuales y la bisexualidad son ampliamente aceptadas, y su cultura no considera el parentesco de sangre como lo más importante en la relaciones familiares, siendo las madres o padres biológicos no más o menos importantes o legítimos que los padres y madres adoptivos, demostrado en la práctica de intercambiar hijos a criar temporal o permanentemente entre hogares y parejas. </w:t>
      </w:r>
    </w:p>
    <w:p w:rsidR="00000000" w:rsidDel="00000000" w:rsidP="00000000" w:rsidRDefault="00000000" w:rsidRPr="00000000" w14:paraId="0000005A">
      <w:pPr>
        <w:ind w:left="720" w:firstLine="0"/>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B">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Carby usa la palabra herstory para diferenciarla de la historia general, que dice, siempre ha tomado y suele tomar solo la perspectiva masculina—borrando, dejando de lado e invisibilizando la historia de la mujer o el punto de vista de las mujeres. Con esta palabra plantea reclamar el estudio de la historia para visibilizar la opresión y la lucha de las mujeres en el mundo y la sociedad, destaca que hay diferencias también entre la historia de las mujeres blancas y las de color, y que las mujeres negras sufren opresión por tres frentes (uno de los cuales las mujeres blancas pueden ignorar), la opresión por clase, el racismo y el sexismo.</w:t>
      </w:r>
    </w:p>
    <w:p w:rsidR="00000000" w:rsidDel="00000000" w:rsidP="00000000" w:rsidRDefault="00000000" w:rsidRPr="00000000" w14:paraId="0000005C">
      <w:pPr>
        <w:ind w:left="708.6614173228347"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D">
      <w:pPr>
        <w:numPr>
          <w:ilvl w:val="0"/>
          <w:numId w:val="2"/>
        </w:numPr>
        <w:ind w:left="720" w:hanging="436.53543307086625"/>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Tylor define el animismo como la creencia de que dentro del cuerpo normal, visible y tangible existe un ser normalmente invisible e intangible, un concepto que debió ser inventado para explicar intrincados fenómenos tales como los desmayos, la pérdida de conciencia, el nacimiento y la muerte. En cambio Marett define a su concepto de </w:t>
      </w:r>
      <w:r w:rsidDel="00000000" w:rsidR="00000000" w:rsidRPr="00000000">
        <w:rPr>
          <w:rFonts w:ascii="Verdana" w:cs="Verdana" w:eastAsia="Verdana" w:hAnsi="Verdana"/>
          <w:sz w:val="24"/>
          <w:szCs w:val="24"/>
          <w:rtl w:val="0"/>
        </w:rPr>
        <w:t xml:space="preserve">animatismo</w:t>
      </w:r>
      <w:r w:rsidDel="00000000" w:rsidR="00000000" w:rsidRPr="00000000">
        <w:rPr>
          <w:rFonts w:ascii="Verdana" w:cs="Verdana" w:eastAsia="Verdana" w:hAnsi="Verdana"/>
          <w:sz w:val="24"/>
          <w:szCs w:val="24"/>
          <w:rtl w:val="0"/>
        </w:rPr>
        <w:t xml:space="preserve"> como la creencia en fuerzas sobrenaturales que no derivan su energía de las “almas”, ya que consideraba la definición de religión de Tylor demasiado estricta, apuntando que cuando la gente atribuye propiedades vitales a objetos u ocurrencias naturales no cree, forzosamente, que las almas son la causa de la conducta vital de estos objetos.</w:t>
      </w:r>
      <w:r w:rsidDel="00000000" w:rsidR="00000000" w:rsidRPr="00000000">
        <w:rPr>
          <w:rtl w:val="0"/>
        </w:rPr>
      </w:r>
    </w:p>
    <w:sectPr>
      <w:headerReference r:id="rId7"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rtl w:val="0"/>
      </w:rPr>
      <w:t xml:space="preserve">Julieta </w:t>
    </w:r>
    <w:r w:rsidDel="00000000" w:rsidR="00000000" w:rsidRPr="00000000">
      <w:rPr>
        <w:rtl w:val="0"/>
      </w:rPr>
      <w:t xml:space="preserve">Aviles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5WXt9nTscvUSXztLrykf6pyKQ==">AMUW2mW0P+R5xNZvP0Js9uHMgAJSSq6VKNn3LnF4U6+/etQenSbuw1BMYzLL2Va8TNRGQFgHYFbfB6SwkVZHnzcWBHJXfmea6seu22LwjUJn4AWY/l0K2WG+8DL7o0G6ones5BNfwPC11X0/zMhjHkO6UjAdChlUCwDACauT1nghQQX5nspNR0AXLG1yMjoGUUiDFceSFaWcN2Y/DaOgnXm8kIgUWXS7gfozbsa/czFq2JjYeRU052A=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